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宋体" w:eastAsia="方正小标宋简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sz w:val="40"/>
          <w:szCs w:val="40"/>
          <w:lang w:eastAsia="zh-CN"/>
        </w:rPr>
        <w:t>《事件信息分类编码规范》编制说明</w:t>
      </w:r>
    </w:p>
    <w:p>
      <w:pPr>
        <w:pStyle w:val="13"/>
        <w:numPr>
          <w:ilvl w:val="0"/>
          <w:numId w:val="0"/>
        </w:numPr>
        <w:spacing w:before="0" w:after="0" w:line="600" w:lineRule="exact"/>
        <w:ind w:firstLine="642" w:firstLineChars="200"/>
        <w:outlineLvl w:val="9"/>
        <w:rPr>
          <w:rFonts w:ascii="宋体" w:hAnsi="宋体"/>
          <w:lang w:eastAsia="zh-CN"/>
        </w:rPr>
      </w:pP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0" w:name="_Toc151"/>
      <w:r>
        <w:rPr>
          <w:rFonts w:hint="eastAsia" w:ascii="仿宋_GB2312" w:hAnsi="仿宋_GB2312" w:eastAsia="仿宋_GB2312" w:cs="仿宋_GB2312"/>
          <w:sz w:val="32"/>
          <w:szCs w:val="48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背景</w:t>
      </w:r>
      <w:bookmarkEnd w:id="0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党的十八大以来，党中央高度重视平安中国建设，习近平总书记多次作出重要指示，明确提出要努力建设更高水平的平安中国。目前，中央、省、市围绕推进“平安建设”和社会治理“一网统管”推出了多项部署要求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广东省层面，根据省委政法委与省政数局联合印发的《关于推进“粤平安”社会治理云平台建设工作方案》（粤政函〔2021〕103号），明确要求开展“粤平安”态势分析应用建设，并提出平安指数规划建设方案。目前，深圳市全市各区基本已建立起了区域内的统一事件分拨平台，实现了本辖区内事件的分拨流转，对提升基层社会治理能力现代化做出了有效探索。但是仍然存在不少问题，如:各区对事件分拨定义的标准不统一、数据不统一、分拨范围不统一。同时在市级条部门层面，部门分拨内容重叠交叉，各自遵循行业标准，出现分拨不畅、统计困难等问题，有碍建立起市、区、街、社多级联动的现代化治理体系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近年来，深圳市在提高为民服务水平，化解社会矛盾方面积累了丰富经验，各区各部门均形成较为系统的事件信息管理机制，但随着事件信息的增多和统计、管理各方面要求的持续提高，以及各区（“块”治理层级）和各部门（“条”管理部门）系统间条块交叉分割，不利于各类事件信息分拨与处置管理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6"/>
          <w:szCs w:val="36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按照全省“一网统管”和“粤平安”建设的总体要求，为加快推进我市“一网统管”和“平安深圳”智能化平台建设，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统筹事件信息管理，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围绕社会精细化治理的需要，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以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国家标准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和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全市各部门、各区的已有事件分类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为基础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进行汇聚整合，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拟通过制定《事件信息分类编码规范》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提供全口径的事件分类指引，为实现事件从发现上报、分拨、处置，再到考核归档全周期管理提供基础规范，进一步提高社会治理智能化、科学化、精准化水平。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1" w:name="_Toc102839965"/>
      <w:bookmarkStart w:id="2" w:name="_Toc26533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工作简况</w:t>
      </w:r>
      <w:bookmarkEnd w:id="1"/>
      <w:bookmarkEnd w:id="2"/>
    </w:p>
    <w:p>
      <w:pPr>
        <w:keepNext/>
        <w:keepLines/>
        <w:numPr>
          <w:ilvl w:val="0"/>
          <w:numId w:val="5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3" w:name="_Toc102839966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任务来源</w:t>
      </w:r>
      <w:bookmarkEnd w:id="3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根据深圳市市场监督管理局《关于下达202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年第一批深圳市地方标准计划项目任务的通知》，由中共深圳市委政法委员会牵头，深圳市政务服务数据管理局、深圳市标准技术研究院参与的《事件信息分类编码规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范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》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正式立项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本文件的提出和归口单位为中共深圳市委政法委员会。</w:t>
      </w:r>
    </w:p>
    <w:p>
      <w:pPr>
        <w:keepNext/>
        <w:keepLines/>
        <w:numPr>
          <w:ilvl w:val="0"/>
          <w:numId w:val="5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4" w:name="_Toc102839967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主要起草过程</w:t>
      </w:r>
      <w:bookmarkEnd w:id="4"/>
    </w:p>
    <w:p>
      <w:pPr>
        <w:pStyle w:val="24"/>
        <w:keepNext w:val="0"/>
        <w:keepLines w:val="0"/>
        <w:pageBreakBefore w:val="0"/>
        <w:widowControl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前期准备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月起，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中共深圳市委政法委员会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组织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深圳市政务服务数据管理局、深圳市罗湖区智慧城市建设中心、深圳市标准技术研究院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等单位，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开展了前期研究与资料收集工作，分析、总结国内外有关标准资料和文献，探讨本文件立项必要性和结构要点，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同时组建了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标准编制组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的编制打下了良好的工作基础。</w:t>
      </w:r>
    </w:p>
    <w:p>
      <w:pPr>
        <w:pStyle w:val="24"/>
        <w:keepNext w:val="0"/>
        <w:keepLines w:val="0"/>
        <w:pageBreakBefore w:val="0"/>
        <w:widowControl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标准立项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年3月，标准编制组讨论并确定了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的适用范围、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标准</w:t>
      </w:r>
      <w:r>
        <w:rPr>
          <w:rFonts w:hint="eastAsia" w:ascii="仿宋_GB2312" w:hAnsi="仿宋_GB2312" w:eastAsia="仿宋_GB2312" w:cs="仿宋_GB2312"/>
          <w:sz w:val="32"/>
          <w:szCs w:val="32"/>
        </w:rPr>
        <w:t>对象和内容框架等关键性技术内容，填写了深圳市地方标准制修订项目建议书，提交至深圳市市场监督管理局立项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5月正式批准立项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24"/>
        <w:keepNext w:val="0"/>
        <w:keepLines w:val="0"/>
        <w:pageBreakBefore w:val="0"/>
        <w:widowControl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标准起草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年5月-6月，按照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编制原则，在文献调研和实地调研的基础上，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组提出了标准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文本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基本框架并完善形成标准初稿。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年7月-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sz w:val="32"/>
          <w:szCs w:val="32"/>
        </w:rPr>
        <w:t>标准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编制组组织了多次讨论会，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充分听取有关单位的需求和建议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并同步对标准文本进行修改，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形成征求意见稿。</w:t>
      </w:r>
    </w:p>
    <w:p>
      <w:pPr>
        <w:pStyle w:val="24"/>
        <w:keepNext w:val="0"/>
        <w:keepLines w:val="0"/>
        <w:pageBreakBefore w:val="0"/>
        <w:widowControl/>
        <w:numPr>
          <w:ilvl w:val="3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5" w:hanging="42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标准征求意见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月，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中共深圳市委政法委员会、深圳市政务服务数据管理局联合发文向各有关单位征求《事件信息分类编码规范》（征求意见稿）的意见，共收到各单位反馈的30条意见，其中采纳5条，不采纳2条，无意见23条。标准编制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各单位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反馈</w:t>
      </w:r>
      <w:r>
        <w:rPr>
          <w:rFonts w:hint="eastAsia" w:ascii="仿宋_GB2312" w:hAnsi="仿宋_GB2312" w:eastAsia="仿宋_GB2312" w:cs="仿宋_GB2312"/>
          <w:sz w:val="32"/>
          <w:szCs w:val="32"/>
        </w:rPr>
        <w:t>意见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对标准进行修订完善，形成送审稿。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5" w:name="_Toc30757"/>
      <w:bookmarkStart w:id="6" w:name="_Toc102839968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编制原则与依据</w:t>
      </w:r>
      <w:bookmarkEnd w:id="5"/>
      <w:bookmarkEnd w:id="6"/>
    </w:p>
    <w:p>
      <w:pPr>
        <w:keepNext/>
        <w:keepLines/>
        <w:numPr>
          <w:ilvl w:val="0"/>
          <w:numId w:val="6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7" w:name="_Toc102839969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编制原则</w:t>
      </w:r>
      <w:bookmarkEnd w:id="7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bookmarkStart w:id="89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本文件在编制上按照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科学性、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规范性、地方性和可操作性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原则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进行编制</w:t>
      </w:r>
      <w:bookmarkEnd w:id="89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。遵循国家相关标准，以深圳市各区各部门前期积累的工作经验和成果为基础，按照深圳市管理的实际情况，以相关文件要求及GB/T 7027《信息分类和编码的基本原则与方法》对信息分类的科学方法为技术基础进行编制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keepNext/>
        <w:keepLines/>
        <w:numPr>
          <w:ilvl w:val="0"/>
          <w:numId w:val="6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8" w:name="_Toc10283997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编制依据</w:t>
      </w:r>
      <w:bookmarkEnd w:id="8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 本文件的编写按照GB/T 1.1-2020《标准化工作导则 第1部分：标准化文件的结构和起草规则》的要求进行。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2. 规范性引用文件包括GB/T 2260—2007《中华人民共和国行政区划代码》、GB/T 7408—2005《数据元和交换格式 信息交换 日期和时间表示法》。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3.相关参考文件包括如下：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GB/T 7027—2002  信息分类和编码的基本原则与方法</w:t>
      </w:r>
    </w:p>
    <w:p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GB/T 31000—2015  社会治安综合治理基础数据规范</w:t>
      </w:r>
    </w:p>
    <w:p>
      <w:pPr>
        <w:keepNext/>
        <w:keepLines/>
        <w:numPr>
          <w:ilvl w:val="0"/>
          <w:numId w:val="6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9" w:name="_Toc102839971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与国内领先、国际先进标准的对标情况</w:t>
      </w:r>
      <w:bookmarkEnd w:id="9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10" w:name="_Toc28314"/>
      <w:bookmarkStart w:id="11" w:name="_Toc23547"/>
      <w:bookmarkStart w:id="12" w:name="_Toc14902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主要技术内容及技术依据</w:t>
      </w:r>
      <w:bookmarkEnd w:id="10"/>
      <w:bookmarkEnd w:id="11"/>
      <w:bookmarkEnd w:id="12"/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范围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本文件规定了深圳市事件信息分类的基础框架、事件字典、事件信息分类标准和事件信息统一分类编码。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本文件适用于指导深圳市事件信息分类管理工作。</w:t>
      </w:r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规范性引用文件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本文件规范性引用国家标准2个，分别是：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GB/T 2260—2007  中华人民共和国行政区划代码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GB/T 7408—2005  数据元和交换格式  信息交换  日期和时间表示法</w:t>
      </w:r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术语和定义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本章给出了术语“事件”和“事件字典”的定义。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事件（ event ）</w:t>
      </w:r>
      <w:bookmarkStart w:id="13" w:name="_Hlk96508188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：由网格巡查或群众投诉、举报、智慧监管等方式发现的与咨询建议、问题隐患、民生诉求、矛盾纠纷、信访、维稳等相关的事情。</w:t>
      </w:r>
      <w:bookmarkEnd w:id="13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事件字典（dictionary of event）：按照最大公约数原则汇集全市各区、各部门现有事件信息，并经过统一编码、统一描述的事件信息集合。</w:t>
      </w:r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事件信息分类基础框架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本章给出了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信息分类基础框架按照“1+11+N”组成：“1”：代表深圳市事件字典（总集）；“11”：代表深圳市11个区的事件（可含事项）信息分类清单（子集）；“N”：代表各部门的事件（可含事项）信息分类清单（子集）。</w:t>
      </w:r>
    </w:p>
    <w:p>
      <w:pPr>
        <w:adjustRightInd/>
        <w:spacing w:line="600" w:lineRule="exact"/>
        <w:ind w:firstLine="640" w:firstLineChars="200"/>
        <w:textAlignment w:val="auto"/>
        <w:rPr>
          <w:rFonts w:hint="default" w:ascii="仿宋_GB2312" w:hAnsi="宋体" w:eastAsia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同时给出了</w:t>
      </w:r>
      <w:bookmarkStart w:id="14" w:name="_Toc99030009"/>
      <w:bookmarkStart w:id="15" w:name="_Toc97109092"/>
      <w:bookmarkStart w:id="16" w:name="_Toc14789"/>
      <w:bookmarkStart w:id="17" w:name="_Toc99467502"/>
      <w:bookmarkStart w:id="18" w:name="_Toc1580"/>
      <w:bookmarkStart w:id="19" w:name="_Toc91492548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事件信息分类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基础框架图</w:t>
      </w:r>
      <w:bookmarkEnd w:id="14"/>
      <w:bookmarkEnd w:id="15"/>
      <w:bookmarkEnd w:id="16"/>
      <w:bookmarkEnd w:id="17"/>
      <w:bookmarkEnd w:id="18"/>
      <w:bookmarkEnd w:id="19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及其说明规定等。</w:t>
      </w:r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事件字典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本章给出了事件字典构建原则，分别为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最大公约数原则、统一性与唯一性原则、可扩延性原则，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同时给出了</w:t>
      </w:r>
      <w:bookmarkStart w:id="20" w:name="_Toc99030012"/>
      <w:bookmarkStart w:id="21" w:name="_Toc5418"/>
      <w:bookmarkStart w:id="22" w:name="_Toc24076"/>
      <w:bookmarkStart w:id="23" w:name="_Toc91090276"/>
      <w:bookmarkStart w:id="24" w:name="_Toc97109095"/>
      <w:bookmarkStart w:id="25" w:name="_Toc99467505"/>
      <w:bookmarkStart w:id="26" w:name="_Toc91492551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事件字典分类索引码</w:t>
      </w:r>
      <w:bookmarkEnd w:id="20"/>
      <w:bookmarkEnd w:id="21"/>
      <w:bookmarkEnd w:id="22"/>
      <w:bookmarkEnd w:id="23"/>
      <w:bookmarkEnd w:id="24"/>
      <w:bookmarkEnd w:id="25"/>
      <w:bookmarkEnd w:id="26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编码规则以及</w:t>
      </w:r>
      <w:bookmarkStart w:id="27" w:name="_Toc99467506"/>
      <w:bookmarkStart w:id="28" w:name="_Toc91492552"/>
      <w:bookmarkStart w:id="29" w:name="_Toc99030013"/>
      <w:bookmarkStart w:id="30" w:name="_Toc97109096"/>
      <w:bookmarkStart w:id="31" w:name="_Toc28435"/>
      <w:bookmarkStart w:id="32" w:name="_Toc90979632"/>
      <w:bookmarkStart w:id="33" w:name="_Toc8672"/>
      <w:bookmarkStart w:id="34" w:name="_Toc91090279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事件信息描述</w:t>
      </w:r>
      <w:bookmarkEnd w:id="27"/>
      <w:bookmarkEnd w:id="28"/>
      <w:bookmarkEnd w:id="29"/>
      <w:bookmarkEnd w:id="30"/>
      <w:bookmarkEnd w:id="31"/>
      <w:bookmarkEnd w:id="32"/>
      <w:bookmarkEnd w:id="33"/>
      <w:bookmarkEnd w:id="34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具体要求等。</w:t>
      </w:r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35" w:name="_Toc16641"/>
      <w:bookmarkStart w:id="36" w:name="_Toc99467508"/>
      <w:bookmarkStart w:id="37" w:name="_Toc99030015"/>
      <w:bookmarkStart w:id="38" w:name="_Toc97109098"/>
      <w:bookmarkStart w:id="39" w:name="_Toc91492554"/>
      <w:bookmarkStart w:id="40" w:name="_Toc1188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事件信息分类标准</w:t>
      </w:r>
      <w:bookmarkEnd w:id="35"/>
      <w:bookmarkEnd w:id="36"/>
      <w:bookmarkEnd w:id="37"/>
      <w:bookmarkEnd w:id="38"/>
      <w:bookmarkEnd w:id="39"/>
      <w:bookmarkEnd w:id="40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本章给出了</w:t>
      </w:r>
      <w:bookmarkStart w:id="41" w:name="_Toc3276"/>
      <w:bookmarkStart w:id="42" w:name="_Toc17634"/>
      <w:bookmarkStart w:id="43" w:name="_Toc99467509"/>
      <w:bookmarkStart w:id="44" w:name="_Toc97109099"/>
      <w:bookmarkStart w:id="45" w:name="_Toc91492555"/>
      <w:bookmarkStart w:id="46" w:name="_Toc99030016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事件信息分类原则</w:t>
      </w:r>
      <w:bookmarkEnd w:id="41"/>
      <w:bookmarkEnd w:id="42"/>
      <w:bookmarkEnd w:id="43"/>
      <w:bookmarkEnd w:id="44"/>
      <w:bookmarkEnd w:id="45"/>
      <w:bookmarkEnd w:id="46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分别为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一致性与唯一性原则、</w:t>
      </w:r>
      <w:bookmarkStart w:id="47" w:name="_Toc91090273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兼容性</w:t>
      </w:r>
      <w:bookmarkEnd w:id="47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原则、</w:t>
      </w:r>
      <w:bookmarkStart w:id="48" w:name="_Toc91090274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综合实用性</w:t>
      </w:r>
      <w:bookmarkEnd w:id="48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原则，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同时给出了</w:t>
      </w:r>
      <w:bookmarkStart w:id="49" w:name="_Toc97109100"/>
      <w:bookmarkStart w:id="50" w:name="_Toc91492556"/>
      <w:bookmarkStart w:id="51" w:name="_Toc99030017"/>
      <w:bookmarkStart w:id="52" w:name="_Toc19795"/>
      <w:bookmarkStart w:id="53" w:name="_Toc6525"/>
      <w:bookmarkStart w:id="54" w:name="_Toc99467510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事件信息分类清单构建</w:t>
      </w:r>
      <w:bookmarkEnd w:id="49"/>
      <w:bookmarkEnd w:id="50"/>
      <w:bookmarkEnd w:id="51"/>
      <w:bookmarkEnd w:id="52"/>
      <w:bookmarkEnd w:id="53"/>
      <w:bookmarkEnd w:id="54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应满足的相关要求。</w:t>
      </w:r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55" w:name="_Toc91492557"/>
      <w:bookmarkStart w:id="56" w:name="_Toc90979631"/>
      <w:bookmarkStart w:id="57" w:name="_Toc28627"/>
      <w:bookmarkStart w:id="58" w:name="_Toc8677"/>
      <w:bookmarkStart w:id="59" w:name="_Toc99467511"/>
      <w:bookmarkStart w:id="60" w:name="_Toc97109101"/>
      <w:bookmarkStart w:id="61" w:name="_Toc91090275"/>
      <w:bookmarkStart w:id="62" w:name="_Toc99030018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事件信息统一分类编码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本章给出了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全市事件信息统一分类编码由四部分代码顺序排列组成，共26位，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其中日历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由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8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位阿拉伯数字组成，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依据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GB/T 7408中的日历日期；区级行政区划代码，由6位阿拉伯数字组成，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依据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GB/T 2260—2007以及深圳市民政局的规定编码；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同时给出了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全市事件信息统一分类编码结构图。</w:t>
      </w:r>
    </w:p>
    <w:p>
      <w:pPr>
        <w:keepNext/>
        <w:keepLines/>
        <w:numPr>
          <w:ilvl w:val="0"/>
          <w:numId w:val="8"/>
        </w:numPr>
        <w:spacing w:before="156" w:beforeLines="50" w:after="156" w:afterLines="50" w:line="360" w:lineRule="auto"/>
        <w:jc w:val="left"/>
        <w:outlineLvl w:val="1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A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（规范性）事件字典维护</w:t>
      </w:r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宋体" w:eastAsia="仿宋_GB2312"/>
          <w:kern w:val="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本章为</w:t>
      </w:r>
      <w:r>
        <w:rPr>
          <w:rFonts w:hint="default" w:ascii="仿宋_GB2312" w:hAnsi="宋体" w:eastAsia="仿宋_GB2312"/>
          <w:kern w:val="2"/>
          <w:sz w:val="32"/>
          <w:szCs w:val="32"/>
          <w:lang w:val="en-US" w:eastAsia="zh-CN"/>
        </w:rPr>
        <w:t>规范性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附录，给出了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事件字典维护应遵循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原则，</w:t>
      </w:r>
      <w:bookmarkStart w:id="63" w:name="_Toc91090286"/>
      <w:bookmarkStart w:id="64" w:name="_Toc18098"/>
      <w:bookmarkStart w:id="65" w:name="_Toc90979636"/>
      <w:bookmarkStart w:id="66" w:name="_Toc17428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维护机构</w:t>
      </w:r>
      <w:bookmarkEnd w:id="63"/>
      <w:bookmarkEnd w:id="64"/>
      <w:bookmarkEnd w:id="65"/>
      <w:bookmarkEnd w:id="66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的职责（包括管理组和技术组的职责），添加、修订、删除等维护具体要求，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事件字典更新步骤，</w:t>
      </w:r>
      <w:bookmarkStart w:id="67" w:name="_Toc14609"/>
      <w:bookmarkStart w:id="68" w:name="_Toc14539"/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事件字典的管理</w:t>
      </w:r>
      <w:bookmarkEnd w:id="67"/>
      <w:bookmarkEnd w:id="68"/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要求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hAnsi="宋体" w:eastAsia="仿宋_GB2312"/>
          <w:kern w:val="2"/>
          <w:sz w:val="32"/>
          <w:szCs w:val="32"/>
          <w:lang w:val="en-US" w:eastAsia="zh-CN"/>
        </w:rPr>
        <w:t>包括评审、测试、批准、发布、存档备查等</w:t>
      </w:r>
      <w:r>
        <w:rPr>
          <w:rFonts w:hint="eastAsia" w:ascii="仿宋_GB2312" w:hAnsi="宋体" w:eastAsia="仿宋_GB2312"/>
          <w:kern w:val="2"/>
          <w:sz w:val="32"/>
          <w:szCs w:val="32"/>
          <w:lang w:eastAsia="zh-CN"/>
        </w:rPr>
        <w:t>）。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69" w:name="_Toc73026606"/>
      <w:bookmarkStart w:id="70" w:name="_Toc87532571"/>
      <w:bookmarkStart w:id="71" w:name="_Toc23862"/>
      <w:bookmarkStart w:id="72" w:name="_Toc1207"/>
      <w:bookmarkStart w:id="73" w:name="_Toc26768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是否涉及专利</w:t>
      </w:r>
      <w:bookmarkEnd w:id="69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等知识产权问题</w:t>
      </w:r>
      <w:bookmarkEnd w:id="70"/>
      <w:bookmarkEnd w:id="71"/>
      <w:bookmarkEnd w:id="72"/>
      <w:bookmarkEnd w:id="73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本文件不涉及专利等知识产权问题。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74" w:name="_Toc23861"/>
      <w:bookmarkStart w:id="75" w:name="_Toc87532572"/>
      <w:bookmarkStart w:id="76" w:name="_Toc8991"/>
      <w:bookmarkStart w:id="77" w:name="_Toc28298"/>
      <w:bookmarkStart w:id="78" w:name="_Toc73026607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重大意见分歧的处理依据和结果</w:t>
      </w:r>
      <w:bookmarkEnd w:id="74"/>
      <w:bookmarkEnd w:id="75"/>
      <w:bookmarkEnd w:id="76"/>
      <w:bookmarkEnd w:id="77"/>
      <w:bookmarkEnd w:id="78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本文件制定过程中无重大分歧意见。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79" w:name="_Toc73026608"/>
      <w:bookmarkStart w:id="80" w:name="_Toc29549"/>
      <w:bookmarkStart w:id="81" w:name="_Toc87532573"/>
      <w:bookmarkStart w:id="82" w:name="_Toc30930"/>
      <w:bookmarkStart w:id="83" w:name="_Toc4711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实施标准的措施建议</w:t>
      </w:r>
      <w:bookmarkEnd w:id="79"/>
      <w:bookmarkEnd w:id="80"/>
      <w:bookmarkEnd w:id="81"/>
      <w:bookmarkEnd w:id="82"/>
      <w:bookmarkEnd w:id="83"/>
    </w:p>
    <w:p>
      <w:pPr>
        <w:adjustRightInd/>
        <w:spacing w:line="360" w:lineRule="auto"/>
        <w:ind w:firstLine="435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标准发布之后，建议主管部门从以下几个方面开展标准推广与实施工作：</w:t>
      </w:r>
    </w:p>
    <w:p>
      <w:pPr>
        <w:numPr>
          <w:ilvl w:val="0"/>
          <w:numId w:val="9"/>
        </w:numPr>
        <w:adjustRightInd/>
        <w:spacing w:line="360" w:lineRule="auto"/>
        <w:ind w:firstLine="435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开展宣贯培训活动。按照深圳市地方标准管理的相关要求，地方标准发布实施后，由主管部门组织和督导本部门、本行业开展地方标准的宣贯、培训和实施工作。可充分利用电视、网络、报纸等媒体，以多渠道、多手段，线上、线下多种形式向标准应用相关方推广宣传标准，确保标准应用相关方准确理解并实施标准。</w:t>
      </w:r>
    </w:p>
    <w:p>
      <w:pPr>
        <w:numPr>
          <w:ilvl w:val="0"/>
          <w:numId w:val="9"/>
        </w:numPr>
        <w:adjustRightInd/>
        <w:spacing w:line="360" w:lineRule="auto"/>
        <w:ind w:firstLine="435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开展标准实施检查工作。制定标准实施检查制度及标准实施检查工作计划，开展标准实施检查工作，记录标准实施检查情况并形成实施检查报告。</w:t>
      </w:r>
    </w:p>
    <w:p>
      <w:pPr>
        <w:numPr>
          <w:ilvl w:val="0"/>
          <w:numId w:val="9"/>
        </w:numPr>
        <w:adjustRightInd/>
        <w:spacing w:line="360" w:lineRule="auto"/>
        <w:ind w:firstLine="435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开展用户满意度评价。制定用户满意度评价表，完成用户满意度评价工作，编制用户满意度评价报告，不断完善相关数据服务，提升用户满意度。</w:t>
      </w:r>
    </w:p>
    <w:p>
      <w:pPr>
        <w:numPr>
          <w:ilvl w:val="0"/>
          <w:numId w:val="9"/>
        </w:numPr>
        <w:adjustRightInd/>
        <w:spacing w:line="360" w:lineRule="auto"/>
        <w:ind w:firstLine="435"/>
        <w:textAlignment w:val="auto"/>
        <w:rPr>
          <w:rFonts w:hint="eastAsia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eastAsia="zh-CN"/>
        </w:rPr>
        <w:t>持续改进完善标准。在标准实施的过程中，按照标准化的基本理念，通过实施检查、重复验证、持续改进等方式方法，确保标准实施有效。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48"/>
          <w:lang w:eastAsia="zh-CN"/>
        </w:rPr>
      </w:pPr>
      <w:bookmarkStart w:id="84" w:name="_Toc73026609"/>
      <w:bookmarkStart w:id="85" w:name="_Toc17262"/>
      <w:bookmarkStart w:id="86" w:name="_Toc87532574"/>
      <w:bookmarkStart w:id="87" w:name="_Toc17305"/>
      <w:bookmarkStart w:id="88" w:name="_Toc11144"/>
      <w:r>
        <w:rPr>
          <w:rFonts w:hint="eastAsia" w:ascii="仿宋_GB2312" w:hAnsi="仿宋_GB2312" w:eastAsia="仿宋_GB2312" w:cs="仿宋_GB2312"/>
          <w:sz w:val="32"/>
          <w:szCs w:val="48"/>
          <w:lang w:eastAsia="zh-CN"/>
        </w:rPr>
        <w:t>其他需要说明的事项</w:t>
      </w:r>
      <w:bookmarkEnd w:id="84"/>
      <w:bookmarkEnd w:id="85"/>
      <w:bookmarkEnd w:id="86"/>
      <w:bookmarkEnd w:id="87"/>
      <w:bookmarkEnd w:id="88"/>
    </w:p>
    <w:p>
      <w:pPr>
        <w:adjustRightInd/>
        <w:spacing w:line="600" w:lineRule="exact"/>
        <w:ind w:firstLine="640" w:firstLineChars="200"/>
        <w:textAlignment w:val="auto"/>
        <w:rPr>
          <w:rFonts w:hint="eastAsia" w:ascii="仿宋_GB2312" w:eastAsia="仿宋_GB2312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无。</w:t>
      </w:r>
    </w:p>
    <w:sectPr>
      <w:footerReference r:id="rId5" w:type="default"/>
      <w:pgSz w:w="11906" w:h="16838"/>
      <w:pgMar w:top="1440" w:right="1800" w:bottom="1276" w:left="1800" w:header="851" w:footer="992" w:gutter="0"/>
      <w:pgNumType w:fmt="decimal" w:start="1"/>
      <w:cols w:space="425" w:num="1"/>
      <w:docGrid w:type="lines"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928E7B5"/>
    <w:multiLevelType w:val="multilevel"/>
    <w:tmpl w:val="9928E7B5"/>
    <w:lvl w:ilvl="0" w:tentative="0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A085FC3D"/>
    <w:multiLevelType w:val="singleLevel"/>
    <w:tmpl w:val="A085FC3D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B1159F97"/>
    <w:multiLevelType w:val="singleLevel"/>
    <w:tmpl w:val="B1159F97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仿宋_GB2312" w:hAnsi="仿宋_GB2312" w:eastAsia="仿宋_GB2312" w:cs="仿宋_GB2312"/>
        <w:b w:val="0"/>
        <w:bCs w:val="0"/>
      </w:rPr>
    </w:lvl>
  </w:abstractNum>
  <w:abstractNum w:abstractNumId="3">
    <w:nsid w:val="314291D6"/>
    <w:multiLevelType w:val="multilevel"/>
    <w:tmpl w:val="314291D6"/>
    <w:lvl w:ilvl="0" w:tentative="0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934B55E"/>
    <w:multiLevelType w:val="multilevel"/>
    <w:tmpl w:val="5934B55E"/>
    <w:lvl w:ilvl="0" w:tentative="0">
      <w:start w:val="1"/>
      <w:numFmt w:val="decimal"/>
      <w:pStyle w:val="2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30"/>
      <w:suff w:val="nothing"/>
      <w:lvlText w:val="%1.%2　"/>
      <w:lvlJc w:val="left"/>
      <w:pPr>
        <w:ind w:left="0" w:firstLine="0"/>
      </w:pPr>
      <w:rPr>
        <w:rFonts w:hint="default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3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none"/>
      <w:suff w:val="nothing"/>
      <w:lvlText w:val="6.4.2.%1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5">
    <w:nsid w:val="61EF4E41"/>
    <w:multiLevelType w:val="multilevel"/>
    <w:tmpl w:val="61EF4E41"/>
    <w:lvl w:ilvl="0" w:tentative="0">
      <w:start w:val="1"/>
      <w:numFmt w:val="decimal"/>
      <w:pStyle w:val="13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35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3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7">
    <w:nsid w:val="7ACE7F66"/>
    <w:multiLevelType w:val="multilevel"/>
    <w:tmpl w:val="7ACE7F66"/>
    <w:lvl w:ilvl="0" w:tentative="0">
      <w:start w:val="1"/>
      <w:numFmt w:val="chineseCountingThousand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FA53740"/>
    <w:multiLevelType w:val="multilevel"/>
    <w:tmpl w:val="7FA53740"/>
    <w:lvl w:ilvl="0" w:tentative="0">
      <w:start w:val="1"/>
      <w:numFmt w:val="chineseCountingThousand"/>
      <w:pStyle w:val="3"/>
      <w:suff w:val="nothing"/>
      <w:lvlText w:val="%1、"/>
      <w:lvlJc w:val="left"/>
      <w:pPr>
        <w:ind w:left="1277" w:firstLine="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1" w:tentative="0">
      <w:start w:val="1"/>
      <w:numFmt w:val="chineseCountingThousand"/>
      <w:lvlText w:val="(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仿宋_GB2312" w:hAnsi="仿宋_GB2312" w:eastAsia="仿宋_GB2312" w:cs="仿宋_GB2312"/>
        <w:sz w:val="32"/>
        <w:szCs w:val="32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2ZTRmNmI0NTRhMDRiZTE4NjAyZDg1ZTUzNWViNzEifQ=="/>
  </w:docVars>
  <w:rsids>
    <w:rsidRoot w:val="00172A27"/>
    <w:rsid w:val="0001217D"/>
    <w:rsid w:val="00035529"/>
    <w:rsid w:val="00037CC7"/>
    <w:rsid w:val="00054EDC"/>
    <w:rsid w:val="00061591"/>
    <w:rsid w:val="000738B5"/>
    <w:rsid w:val="00091778"/>
    <w:rsid w:val="000A300F"/>
    <w:rsid w:val="000A48DF"/>
    <w:rsid w:val="000A6691"/>
    <w:rsid w:val="000D186E"/>
    <w:rsid w:val="000F3471"/>
    <w:rsid w:val="000F6CDA"/>
    <w:rsid w:val="000F7030"/>
    <w:rsid w:val="00104EBA"/>
    <w:rsid w:val="00143E8A"/>
    <w:rsid w:val="00154B96"/>
    <w:rsid w:val="00175FC0"/>
    <w:rsid w:val="00194BA3"/>
    <w:rsid w:val="001B1154"/>
    <w:rsid w:val="001B259D"/>
    <w:rsid w:val="001B2758"/>
    <w:rsid w:val="001B47DC"/>
    <w:rsid w:val="001B5D7B"/>
    <w:rsid w:val="001D3F2C"/>
    <w:rsid w:val="001E1F1E"/>
    <w:rsid w:val="001F7CB0"/>
    <w:rsid w:val="00215DF2"/>
    <w:rsid w:val="002320F9"/>
    <w:rsid w:val="0023742C"/>
    <w:rsid w:val="00285657"/>
    <w:rsid w:val="00294F1B"/>
    <w:rsid w:val="002A1FF9"/>
    <w:rsid w:val="002B63F9"/>
    <w:rsid w:val="002D313E"/>
    <w:rsid w:val="002E378F"/>
    <w:rsid w:val="002E7394"/>
    <w:rsid w:val="002F3117"/>
    <w:rsid w:val="00301D18"/>
    <w:rsid w:val="0031268C"/>
    <w:rsid w:val="00316A29"/>
    <w:rsid w:val="003206E7"/>
    <w:rsid w:val="003320BF"/>
    <w:rsid w:val="003614B7"/>
    <w:rsid w:val="0036703D"/>
    <w:rsid w:val="00384C0A"/>
    <w:rsid w:val="00393B25"/>
    <w:rsid w:val="003A4115"/>
    <w:rsid w:val="003A4ADB"/>
    <w:rsid w:val="003F775E"/>
    <w:rsid w:val="004034B9"/>
    <w:rsid w:val="00450287"/>
    <w:rsid w:val="004658E4"/>
    <w:rsid w:val="00493D80"/>
    <w:rsid w:val="004A4675"/>
    <w:rsid w:val="004B1923"/>
    <w:rsid w:val="004B594D"/>
    <w:rsid w:val="004E01BF"/>
    <w:rsid w:val="00524292"/>
    <w:rsid w:val="00566D2C"/>
    <w:rsid w:val="00572BC9"/>
    <w:rsid w:val="00572E3A"/>
    <w:rsid w:val="005832CA"/>
    <w:rsid w:val="00586412"/>
    <w:rsid w:val="005A3D43"/>
    <w:rsid w:val="005D155F"/>
    <w:rsid w:val="005D6523"/>
    <w:rsid w:val="005E3F92"/>
    <w:rsid w:val="0060626C"/>
    <w:rsid w:val="00610CE5"/>
    <w:rsid w:val="00622E9E"/>
    <w:rsid w:val="0062387E"/>
    <w:rsid w:val="006267D6"/>
    <w:rsid w:val="00656688"/>
    <w:rsid w:val="006818D5"/>
    <w:rsid w:val="006910A1"/>
    <w:rsid w:val="00693CF2"/>
    <w:rsid w:val="00696359"/>
    <w:rsid w:val="006A1121"/>
    <w:rsid w:val="006D2C4E"/>
    <w:rsid w:val="006F6442"/>
    <w:rsid w:val="007047D2"/>
    <w:rsid w:val="0073177A"/>
    <w:rsid w:val="00747461"/>
    <w:rsid w:val="0074795D"/>
    <w:rsid w:val="0075660A"/>
    <w:rsid w:val="0076235A"/>
    <w:rsid w:val="00777A18"/>
    <w:rsid w:val="00780FEB"/>
    <w:rsid w:val="00791660"/>
    <w:rsid w:val="00792DDC"/>
    <w:rsid w:val="00793791"/>
    <w:rsid w:val="00797D49"/>
    <w:rsid w:val="007B0D79"/>
    <w:rsid w:val="007C0EAB"/>
    <w:rsid w:val="007D1576"/>
    <w:rsid w:val="007E740E"/>
    <w:rsid w:val="0080402A"/>
    <w:rsid w:val="00807FD6"/>
    <w:rsid w:val="00816153"/>
    <w:rsid w:val="00820258"/>
    <w:rsid w:val="008203FC"/>
    <w:rsid w:val="00827918"/>
    <w:rsid w:val="00847537"/>
    <w:rsid w:val="008664E5"/>
    <w:rsid w:val="00872CEB"/>
    <w:rsid w:val="0087373D"/>
    <w:rsid w:val="0088011D"/>
    <w:rsid w:val="008873F2"/>
    <w:rsid w:val="00896A14"/>
    <w:rsid w:val="008A0CC7"/>
    <w:rsid w:val="008A40BD"/>
    <w:rsid w:val="008A4D7F"/>
    <w:rsid w:val="008B61CB"/>
    <w:rsid w:val="008C1171"/>
    <w:rsid w:val="008E1EE8"/>
    <w:rsid w:val="00900732"/>
    <w:rsid w:val="0090286C"/>
    <w:rsid w:val="009248C4"/>
    <w:rsid w:val="009434FA"/>
    <w:rsid w:val="00945E4A"/>
    <w:rsid w:val="00946B76"/>
    <w:rsid w:val="009621B7"/>
    <w:rsid w:val="00962857"/>
    <w:rsid w:val="00975546"/>
    <w:rsid w:val="009E4D18"/>
    <w:rsid w:val="009F5894"/>
    <w:rsid w:val="00A17706"/>
    <w:rsid w:val="00A43DEA"/>
    <w:rsid w:val="00A54E7D"/>
    <w:rsid w:val="00A575FD"/>
    <w:rsid w:val="00A84D7B"/>
    <w:rsid w:val="00A85437"/>
    <w:rsid w:val="00AA0A9D"/>
    <w:rsid w:val="00AA145C"/>
    <w:rsid w:val="00AA6E71"/>
    <w:rsid w:val="00AC4FD5"/>
    <w:rsid w:val="00AE57D4"/>
    <w:rsid w:val="00AF17EE"/>
    <w:rsid w:val="00AF1EC8"/>
    <w:rsid w:val="00B05F82"/>
    <w:rsid w:val="00B10281"/>
    <w:rsid w:val="00B14532"/>
    <w:rsid w:val="00B21415"/>
    <w:rsid w:val="00B34D4F"/>
    <w:rsid w:val="00B470DA"/>
    <w:rsid w:val="00B559CC"/>
    <w:rsid w:val="00B6517A"/>
    <w:rsid w:val="00B66E23"/>
    <w:rsid w:val="00B75771"/>
    <w:rsid w:val="00B758C4"/>
    <w:rsid w:val="00BA219E"/>
    <w:rsid w:val="00BA6E87"/>
    <w:rsid w:val="00BA7A54"/>
    <w:rsid w:val="00BC0C92"/>
    <w:rsid w:val="00BC0F21"/>
    <w:rsid w:val="00BC6C79"/>
    <w:rsid w:val="00BD7286"/>
    <w:rsid w:val="00BE53CA"/>
    <w:rsid w:val="00BF0BC6"/>
    <w:rsid w:val="00BF2A72"/>
    <w:rsid w:val="00BF5DDD"/>
    <w:rsid w:val="00C070B0"/>
    <w:rsid w:val="00C64FD3"/>
    <w:rsid w:val="00C7000B"/>
    <w:rsid w:val="00C71237"/>
    <w:rsid w:val="00C861B1"/>
    <w:rsid w:val="00C87628"/>
    <w:rsid w:val="00C92212"/>
    <w:rsid w:val="00C9739C"/>
    <w:rsid w:val="00CA1D7E"/>
    <w:rsid w:val="00CA455E"/>
    <w:rsid w:val="00CA73AD"/>
    <w:rsid w:val="00CB2E78"/>
    <w:rsid w:val="00CB3D00"/>
    <w:rsid w:val="00CC5317"/>
    <w:rsid w:val="00CD148A"/>
    <w:rsid w:val="00CE7398"/>
    <w:rsid w:val="00D04F12"/>
    <w:rsid w:val="00D2505E"/>
    <w:rsid w:val="00D3305B"/>
    <w:rsid w:val="00D35747"/>
    <w:rsid w:val="00D55469"/>
    <w:rsid w:val="00D72E21"/>
    <w:rsid w:val="00DA06D8"/>
    <w:rsid w:val="00DA185A"/>
    <w:rsid w:val="00DC51B0"/>
    <w:rsid w:val="00DE2326"/>
    <w:rsid w:val="00E132E6"/>
    <w:rsid w:val="00E1624A"/>
    <w:rsid w:val="00E22574"/>
    <w:rsid w:val="00E42FDF"/>
    <w:rsid w:val="00E72C6A"/>
    <w:rsid w:val="00E7375A"/>
    <w:rsid w:val="00EA38FE"/>
    <w:rsid w:val="00EA3DCB"/>
    <w:rsid w:val="00EA7BB6"/>
    <w:rsid w:val="00EB616D"/>
    <w:rsid w:val="00ED6EE4"/>
    <w:rsid w:val="00ED7FA7"/>
    <w:rsid w:val="00EE121D"/>
    <w:rsid w:val="00EF1E0C"/>
    <w:rsid w:val="00F021A7"/>
    <w:rsid w:val="00F040C8"/>
    <w:rsid w:val="00F2638D"/>
    <w:rsid w:val="00F279DF"/>
    <w:rsid w:val="00F36CC5"/>
    <w:rsid w:val="00F71FBE"/>
    <w:rsid w:val="00F96533"/>
    <w:rsid w:val="00FB2C36"/>
    <w:rsid w:val="00FD0989"/>
    <w:rsid w:val="00FD3A67"/>
    <w:rsid w:val="00FE0CE5"/>
    <w:rsid w:val="00FE56D0"/>
    <w:rsid w:val="00FF180E"/>
    <w:rsid w:val="013F680E"/>
    <w:rsid w:val="062C7A44"/>
    <w:rsid w:val="076D418E"/>
    <w:rsid w:val="098574FE"/>
    <w:rsid w:val="09E00AA7"/>
    <w:rsid w:val="0C0F71DA"/>
    <w:rsid w:val="105605AB"/>
    <w:rsid w:val="11DD7CAE"/>
    <w:rsid w:val="12330252"/>
    <w:rsid w:val="172E1DA8"/>
    <w:rsid w:val="174C4289"/>
    <w:rsid w:val="17643F95"/>
    <w:rsid w:val="17E152E0"/>
    <w:rsid w:val="17FF3456"/>
    <w:rsid w:val="18215ED2"/>
    <w:rsid w:val="19D01A0F"/>
    <w:rsid w:val="1E522619"/>
    <w:rsid w:val="1EC143BC"/>
    <w:rsid w:val="1EDD6DBF"/>
    <w:rsid w:val="20B9506C"/>
    <w:rsid w:val="218B7B80"/>
    <w:rsid w:val="23787FC3"/>
    <w:rsid w:val="2B4710C4"/>
    <w:rsid w:val="2D2E4B6D"/>
    <w:rsid w:val="301A027E"/>
    <w:rsid w:val="3153144F"/>
    <w:rsid w:val="326B721C"/>
    <w:rsid w:val="32870150"/>
    <w:rsid w:val="32A33C91"/>
    <w:rsid w:val="33694E0E"/>
    <w:rsid w:val="3632486B"/>
    <w:rsid w:val="36767B52"/>
    <w:rsid w:val="38E86E8B"/>
    <w:rsid w:val="3A6345BE"/>
    <w:rsid w:val="3B392835"/>
    <w:rsid w:val="3C3E26EF"/>
    <w:rsid w:val="3E931999"/>
    <w:rsid w:val="403159A6"/>
    <w:rsid w:val="46356C32"/>
    <w:rsid w:val="483056A0"/>
    <w:rsid w:val="4CFF596B"/>
    <w:rsid w:val="4D060DA1"/>
    <w:rsid w:val="52741030"/>
    <w:rsid w:val="52AD6860"/>
    <w:rsid w:val="57FF5AE3"/>
    <w:rsid w:val="58C919AA"/>
    <w:rsid w:val="5A846EFD"/>
    <w:rsid w:val="5AF21CC4"/>
    <w:rsid w:val="5C4E2482"/>
    <w:rsid w:val="5C9B668D"/>
    <w:rsid w:val="5CF077F3"/>
    <w:rsid w:val="5F5C346B"/>
    <w:rsid w:val="5FEB162C"/>
    <w:rsid w:val="62332D27"/>
    <w:rsid w:val="62EC5863"/>
    <w:rsid w:val="64787A40"/>
    <w:rsid w:val="66071CA1"/>
    <w:rsid w:val="66F77D7D"/>
    <w:rsid w:val="6BB81147"/>
    <w:rsid w:val="711E286E"/>
    <w:rsid w:val="72E724CE"/>
    <w:rsid w:val="76984A3E"/>
    <w:rsid w:val="77504C7F"/>
    <w:rsid w:val="777F70F8"/>
    <w:rsid w:val="795E3F09"/>
    <w:rsid w:val="796FA606"/>
    <w:rsid w:val="7A896EDE"/>
    <w:rsid w:val="7B8C307E"/>
    <w:rsid w:val="7DB136F7"/>
    <w:rsid w:val="7EDFBA8E"/>
    <w:rsid w:val="FD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9" w:semiHidden="0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00" w:lineRule="auto"/>
      <w:jc w:val="both"/>
      <w:textAlignment w:val="baseline"/>
    </w:pPr>
    <w:rPr>
      <w:rFonts w:ascii="Arial" w:hAnsi="Arial" w:cs="Times New Roman" w:eastAsiaTheme="minorEastAsia"/>
      <w:sz w:val="24"/>
      <w:szCs w:val="24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56" w:beforeLines="50" w:after="156" w:afterLines="50" w:line="360" w:lineRule="auto"/>
      <w:ind w:left="0"/>
      <w:jc w:val="left"/>
      <w:outlineLvl w:val="0"/>
    </w:pPr>
    <w:rPr>
      <w:rFonts w:ascii="Times New Roman" w:hAnsi="Times New Roman"/>
      <w:b/>
      <w:bCs/>
      <w:kern w:val="44"/>
      <w:sz w:val="30"/>
      <w:szCs w:val="44"/>
    </w:rPr>
  </w:style>
  <w:style w:type="paragraph" w:styleId="4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/>
      <w:b/>
      <w:bCs/>
      <w:sz w:val="36"/>
      <w:szCs w:val="36"/>
      <w:lang w:eastAsia="zh-CN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unhideWhenUsed/>
    <w:qFormat/>
    <w:uiPriority w:val="0"/>
    <w:pPr>
      <w:spacing w:beforeAutospacing="1" w:afterAutospacing="1"/>
      <w:outlineLvl w:val="3"/>
    </w:pPr>
    <w:rPr>
      <w:rFonts w:hint="eastAsia" w:ascii="宋体" w:hAnsi="宋体" w:eastAsia="宋体"/>
      <w:b/>
      <w:bCs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7">
    <w:name w:val="annotation text"/>
    <w:basedOn w:val="1"/>
    <w:link w:val="26"/>
    <w:semiHidden/>
    <w:unhideWhenUsed/>
    <w:qFormat/>
    <w:uiPriority w:val="99"/>
    <w:pPr>
      <w:jc w:val="left"/>
    </w:pPr>
  </w:style>
  <w:style w:type="paragraph" w:styleId="8">
    <w:name w:val="Body Text Indent"/>
    <w:basedOn w:val="1"/>
    <w:link w:val="20"/>
    <w:semiHidden/>
    <w:unhideWhenUsed/>
    <w:qFormat/>
    <w:uiPriority w:val="99"/>
    <w:pPr>
      <w:spacing w:after="120"/>
      <w:ind w:left="420" w:leftChars="200"/>
    </w:pPr>
  </w:style>
  <w:style w:type="paragraph" w:styleId="9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adjustRightInd/>
      <w:snapToGrid w:val="0"/>
      <w:spacing w:line="240" w:lineRule="auto"/>
      <w:jc w:val="left"/>
      <w:textAlignment w:val="auto"/>
    </w:pPr>
    <w:rPr>
      <w:rFonts w:ascii="Times New Roman" w:hAnsi="Times New Roman" w:eastAsia="宋体"/>
      <w:kern w:val="2"/>
      <w:sz w:val="18"/>
      <w:szCs w:val="18"/>
      <w:lang w:eastAsia="zh-CN"/>
    </w:rPr>
  </w:style>
  <w:style w:type="paragraph" w:styleId="11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Autospacing="1" w:afterAutospacing="1"/>
    </w:pPr>
  </w:style>
  <w:style w:type="paragraph" w:styleId="13">
    <w:name w:val="Title"/>
    <w:basedOn w:val="1"/>
    <w:next w:val="1"/>
    <w:link w:val="23"/>
    <w:qFormat/>
    <w:uiPriority w:val="0"/>
    <w:pPr>
      <w:numPr>
        <w:ilvl w:val="0"/>
        <w:numId w:val="2"/>
      </w:numPr>
      <w:spacing w:before="240" w:after="60"/>
      <w:jc w:val="left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paragraph" w:styleId="14">
    <w:name w:val="annotation subject"/>
    <w:basedOn w:val="7"/>
    <w:next w:val="7"/>
    <w:link w:val="27"/>
    <w:semiHidden/>
    <w:unhideWhenUsed/>
    <w:qFormat/>
    <w:uiPriority w:val="99"/>
    <w:rPr>
      <w:b/>
      <w:bCs/>
    </w:rPr>
  </w:style>
  <w:style w:type="table" w:styleId="16">
    <w:name w:val="Table Grid"/>
    <w:basedOn w:val="15"/>
    <w:unhideWhenUsed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Hyperlink"/>
    <w:basedOn w:val="17"/>
    <w:qFormat/>
    <w:uiPriority w:val="0"/>
    <w:rPr>
      <w:color w:val="0000FF"/>
      <w:u w:val="single"/>
    </w:rPr>
  </w:style>
  <w:style w:type="character" w:styleId="19">
    <w:name w:val="annotation reference"/>
    <w:basedOn w:val="17"/>
    <w:semiHidden/>
    <w:unhideWhenUsed/>
    <w:qFormat/>
    <w:uiPriority w:val="99"/>
    <w:rPr>
      <w:sz w:val="21"/>
      <w:szCs w:val="21"/>
    </w:rPr>
  </w:style>
  <w:style w:type="character" w:customStyle="1" w:styleId="20">
    <w:name w:val="正文文本缩进 Char"/>
    <w:basedOn w:val="17"/>
    <w:link w:val="8"/>
    <w:semiHidden/>
    <w:qFormat/>
    <w:uiPriority w:val="99"/>
    <w:rPr>
      <w:rFonts w:ascii="Arial" w:hAnsi="Arial" w:cs="Times New Roman"/>
      <w:kern w:val="0"/>
      <w:sz w:val="24"/>
      <w:szCs w:val="24"/>
      <w:lang w:eastAsia="en-US"/>
    </w:rPr>
  </w:style>
  <w:style w:type="character" w:customStyle="1" w:styleId="21">
    <w:name w:val="页脚 Char"/>
    <w:basedOn w:val="17"/>
    <w:link w:val="10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页眉 Char"/>
    <w:basedOn w:val="17"/>
    <w:link w:val="11"/>
    <w:qFormat/>
    <w:uiPriority w:val="99"/>
    <w:rPr>
      <w:rFonts w:ascii="Arial" w:hAnsi="Arial" w:cs="Times New Roman"/>
      <w:kern w:val="0"/>
      <w:sz w:val="18"/>
      <w:szCs w:val="18"/>
      <w:lang w:eastAsia="en-US"/>
    </w:rPr>
  </w:style>
  <w:style w:type="character" w:customStyle="1" w:styleId="23">
    <w:name w:val="标题 Char"/>
    <w:basedOn w:val="17"/>
    <w:link w:val="13"/>
    <w:qFormat/>
    <w:uiPriority w:val="0"/>
    <w:rPr>
      <w:rFonts w:asciiTheme="majorHAnsi" w:hAnsiTheme="majorHAnsi" w:cstheme="majorBidi"/>
      <w:b/>
      <w:bCs/>
      <w:sz w:val="32"/>
      <w:szCs w:val="32"/>
      <w:lang w:eastAsia="en-US"/>
    </w:rPr>
  </w:style>
  <w:style w:type="paragraph" w:styleId="24">
    <w:name w:val="List Paragraph"/>
    <w:basedOn w:val="1"/>
    <w:qFormat/>
    <w:uiPriority w:val="34"/>
    <w:pPr>
      <w:widowControl/>
      <w:adjustRightInd/>
      <w:spacing w:line="240" w:lineRule="auto"/>
      <w:ind w:firstLine="420" w:firstLineChars="200"/>
      <w:jc w:val="left"/>
      <w:textAlignment w:val="auto"/>
    </w:pPr>
    <w:rPr>
      <w:rFonts w:ascii="宋体" w:hAnsi="宋体" w:eastAsia="宋体" w:cs="宋体"/>
      <w:lang w:eastAsia="zh-CN"/>
    </w:rPr>
  </w:style>
  <w:style w:type="character" w:customStyle="1" w:styleId="25">
    <w:name w:val="批注框文本 Char"/>
    <w:basedOn w:val="17"/>
    <w:link w:val="9"/>
    <w:semiHidden/>
    <w:qFormat/>
    <w:uiPriority w:val="99"/>
    <w:rPr>
      <w:rFonts w:ascii="Arial" w:hAnsi="Arial" w:cs="Times New Roman"/>
      <w:kern w:val="0"/>
      <w:sz w:val="18"/>
      <w:szCs w:val="18"/>
      <w:lang w:eastAsia="en-US"/>
    </w:rPr>
  </w:style>
  <w:style w:type="character" w:customStyle="1" w:styleId="26">
    <w:name w:val="批注文字 Char"/>
    <w:basedOn w:val="17"/>
    <w:link w:val="7"/>
    <w:semiHidden/>
    <w:qFormat/>
    <w:uiPriority w:val="99"/>
    <w:rPr>
      <w:rFonts w:ascii="Arial" w:hAnsi="Arial" w:cs="Times New Roman"/>
      <w:kern w:val="0"/>
      <w:sz w:val="24"/>
      <w:szCs w:val="24"/>
      <w:lang w:eastAsia="en-US"/>
    </w:rPr>
  </w:style>
  <w:style w:type="character" w:customStyle="1" w:styleId="27">
    <w:name w:val="批注主题 Char"/>
    <w:basedOn w:val="26"/>
    <w:link w:val="14"/>
    <w:semiHidden/>
    <w:qFormat/>
    <w:uiPriority w:val="99"/>
    <w:rPr>
      <w:rFonts w:ascii="Arial" w:hAnsi="Arial" w:cs="Times New Roman"/>
      <w:b/>
      <w:bCs/>
      <w:kern w:val="0"/>
      <w:sz w:val="24"/>
      <w:szCs w:val="24"/>
      <w:lang w:eastAsia="en-US"/>
    </w:rPr>
  </w:style>
  <w:style w:type="paragraph" w:customStyle="1" w:styleId="2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29">
    <w:name w:val="章标题"/>
    <w:next w:val="28"/>
    <w:qFormat/>
    <w:uiPriority w:val="0"/>
    <w:pPr>
      <w:numPr>
        <w:ilvl w:val="0"/>
        <w:numId w:val="3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30">
    <w:name w:val="一级条标题"/>
    <w:next w:val="28"/>
    <w:qFormat/>
    <w:uiPriority w:val="0"/>
    <w:pPr>
      <w:numPr>
        <w:ilvl w:val="1"/>
        <w:numId w:val="3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character" w:customStyle="1" w:styleId="31">
    <w:name w:val="段 Char"/>
    <w:basedOn w:val="17"/>
    <w:qFormat/>
    <w:uiPriority w:val="0"/>
    <w:rPr>
      <w:rFonts w:hint="eastAsia" w:ascii="宋体" w:hAnsi="宋体" w:eastAsia="宋体" w:cs="宋体"/>
      <w:sz w:val="21"/>
    </w:rPr>
  </w:style>
  <w:style w:type="paragraph" w:customStyle="1" w:styleId="32">
    <w:name w:val="字母编号列项（一级）"/>
    <w:basedOn w:val="1"/>
    <w:qFormat/>
    <w:uiPriority w:val="0"/>
    <w:pPr>
      <w:keepNext w:val="0"/>
      <w:keepLines w:val="0"/>
      <w:widowControl/>
      <w:suppressLineNumbers w:val="0"/>
      <w:tabs>
        <w:tab w:val="left" w:pos="360"/>
        <w:tab w:val="left" w:pos="840"/>
      </w:tabs>
      <w:spacing w:before="0" w:beforeAutospacing="0" w:after="0" w:afterAutospacing="0"/>
      <w:ind w:left="0" w:right="0" w:firstLine="0"/>
      <w:jc w:val="both"/>
    </w:pPr>
    <w:rPr>
      <w:rFonts w:hint="eastAsia" w:ascii="宋体" w:hAnsi="Times New Roman" w:eastAsia="宋体" w:cs="Times New Roman"/>
      <w:kern w:val="0"/>
      <w:sz w:val="21"/>
      <w:szCs w:val="20"/>
      <w:lang w:val="en-US" w:eastAsia="zh-CN" w:bidi="ar"/>
    </w:rPr>
  </w:style>
  <w:style w:type="paragraph" w:customStyle="1" w:styleId="33">
    <w:name w:val="二级条标题"/>
    <w:basedOn w:val="30"/>
    <w:next w:val="2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34">
    <w:name w:val="附录章标题"/>
    <w:next w:val="28"/>
    <w:qFormat/>
    <w:uiPriority w:val="0"/>
    <w:pPr>
      <w:numPr>
        <w:ilvl w:val="1"/>
        <w:numId w:val="4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Calibri" w:eastAsia="黑体" w:cs="Times New Roman"/>
      <w:kern w:val="21"/>
      <w:sz w:val="21"/>
      <w:lang w:val="en-US" w:eastAsia="zh-CN" w:bidi="ar-SA"/>
    </w:rPr>
  </w:style>
  <w:style w:type="paragraph" w:customStyle="1" w:styleId="35">
    <w:name w:val="附录标识"/>
    <w:basedOn w:val="1"/>
    <w:next w:val="28"/>
    <w:qFormat/>
    <w:uiPriority w:val="0"/>
    <w:pPr>
      <w:keepNext/>
      <w:widowControl/>
      <w:numPr>
        <w:ilvl w:val="0"/>
        <w:numId w:val="4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36">
    <w:name w:val="WPSOffice手动目录 1"/>
    <w:qFormat/>
    <w:uiPriority w:val="0"/>
    <w:pPr>
      <w:ind w:leftChars="0"/>
    </w:pPr>
    <w:rPr>
      <w:rFonts w:ascii="Times New Roman" w:hAnsi="Times New Roman" w:eastAsia="宋体" w:cs="Times New Roman"/>
      <w:sz w:val="20"/>
      <w:szCs w:val="20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11</Pages>
  <Words>3335</Words>
  <Characters>3486</Characters>
  <Lines>60</Lines>
  <Paragraphs>16</Paragraphs>
  <TotalTime>8</TotalTime>
  <ScaleCrop>false</ScaleCrop>
  <LinksUpToDate>false</LinksUpToDate>
  <CharactersWithSpaces>3546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2021-10-19T16:52:00Z</dcterms:created>
  <dc:creator>sist</dc:creator>
  <cp:lastModifiedBy>tant</cp:lastModifiedBy>
  <dcterms:modified xsi:type="dcterms:W3CDTF">2023-11-13T16:18:52Z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FDCD2CC715ED4F97855225E3E2F31B76_13</vt:lpwstr>
  </property>
</Properties>
</file>